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18B" w14:textId="0F056E97" w:rsidR="007A080D" w:rsidRPr="009F4D6C" w:rsidRDefault="007A080D" w:rsidP="007A080D">
      <w:pPr>
        <w:jc w:val="left"/>
        <w:rPr>
          <w:b/>
          <w:sz w:val="24"/>
          <w:szCs w:val="24"/>
        </w:rPr>
      </w:pPr>
      <w:bookmarkStart w:id="0" w:name="_Hlk1554475"/>
      <w:r w:rsidRPr="009F4D6C">
        <w:rPr>
          <w:noProof/>
        </w:rPr>
        <w:drawing>
          <wp:inline distT="0" distB="0" distL="0" distR="0" wp14:anchorId="665FFCA6" wp14:editId="0B6C4B64">
            <wp:extent cx="334327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217A" w14:textId="77777777" w:rsidR="007A080D" w:rsidRPr="009C00C8" w:rsidRDefault="007A080D" w:rsidP="007A080D">
      <w:pPr>
        <w:jc w:val="center"/>
        <w:rPr>
          <w:b/>
          <w:sz w:val="24"/>
          <w:szCs w:val="24"/>
        </w:rPr>
      </w:pPr>
    </w:p>
    <w:p w14:paraId="39E70EEE" w14:textId="2B162C39" w:rsidR="008710BB" w:rsidRDefault="007A080D" w:rsidP="009E4E79">
      <w:pPr>
        <w:spacing w:after="160" w:line="259" w:lineRule="auto"/>
        <w:jc w:val="center"/>
        <w:rPr>
          <w:b/>
          <w:szCs w:val="22"/>
        </w:rPr>
      </w:pPr>
      <w:r w:rsidRPr="00D07380">
        <w:rPr>
          <w:b/>
          <w:szCs w:val="22"/>
        </w:rPr>
        <w:t>APPEAL REF:</w:t>
      </w:r>
      <w:r w:rsidRPr="00D07380">
        <w:rPr>
          <w:rFonts w:eastAsia="Calibri"/>
          <w:b/>
          <w:szCs w:val="22"/>
          <w:lang w:eastAsia="en-US"/>
        </w:rPr>
        <w:t xml:space="preserve"> </w:t>
      </w:r>
      <w:r w:rsidRPr="00D07380">
        <w:rPr>
          <w:b/>
          <w:szCs w:val="22"/>
        </w:rPr>
        <w:t>APP/</w:t>
      </w:r>
      <w:r w:rsidR="008710BB">
        <w:rPr>
          <w:b/>
          <w:szCs w:val="22"/>
        </w:rPr>
        <w:t>J4423/</w:t>
      </w:r>
      <w:r w:rsidRPr="00D07380">
        <w:rPr>
          <w:b/>
          <w:szCs w:val="22"/>
        </w:rPr>
        <w:t>W/2</w:t>
      </w:r>
      <w:r w:rsidR="008710BB">
        <w:rPr>
          <w:b/>
          <w:szCs w:val="22"/>
        </w:rPr>
        <w:t>1</w:t>
      </w:r>
      <w:r w:rsidRPr="00D07380">
        <w:rPr>
          <w:b/>
          <w:szCs w:val="22"/>
        </w:rPr>
        <w:t>/32</w:t>
      </w:r>
      <w:r w:rsidR="00E92EA7">
        <w:rPr>
          <w:b/>
          <w:szCs w:val="22"/>
        </w:rPr>
        <w:t>67168</w:t>
      </w:r>
    </w:p>
    <w:p w14:paraId="05743784" w14:textId="6D47DEB0" w:rsidR="007A080D" w:rsidRPr="00D07380" w:rsidRDefault="007A080D" w:rsidP="009E4E79">
      <w:pPr>
        <w:spacing w:after="160" w:line="259" w:lineRule="auto"/>
        <w:jc w:val="center"/>
        <w:rPr>
          <w:rFonts w:cs="Arial"/>
          <w:b/>
          <w:szCs w:val="22"/>
        </w:rPr>
      </w:pPr>
      <w:r w:rsidRPr="00D07380">
        <w:rPr>
          <w:b/>
          <w:szCs w:val="22"/>
        </w:rPr>
        <w:t xml:space="preserve">Land </w:t>
      </w:r>
      <w:r w:rsidR="00E92EA7">
        <w:rPr>
          <w:b/>
          <w:szCs w:val="22"/>
        </w:rPr>
        <w:t xml:space="preserve">at Junction </w:t>
      </w:r>
      <w:r w:rsidR="00AE3087">
        <w:rPr>
          <w:b/>
          <w:szCs w:val="22"/>
        </w:rPr>
        <w:t xml:space="preserve">with </w:t>
      </w:r>
      <w:proofErr w:type="spellStart"/>
      <w:r w:rsidR="00AE3087">
        <w:rPr>
          <w:b/>
          <w:szCs w:val="22"/>
        </w:rPr>
        <w:t>Carr</w:t>
      </w:r>
      <w:proofErr w:type="spellEnd"/>
      <w:r w:rsidR="00AE3087">
        <w:rPr>
          <w:b/>
          <w:szCs w:val="22"/>
        </w:rPr>
        <w:t xml:space="preserve"> Road and </w:t>
      </w:r>
      <w:proofErr w:type="spellStart"/>
      <w:r w:rsidR="00AE3087">
        <w:rPr>
          <w:b/>
          <w:szCs w:val="22"/>
        </w:rPr>
        <w:t>Hollin</w:t>
      </w:r>
      <w:proofErr w:type="spellEnd"/>
      <w:r w:rsidR="00AE3087">
        <w:rPr>
          <w:b/>
          <w:szCs w:val="22"/>
        </w:rPr>
        <w:t xml:space="preserve"> Busk Lane</w:t>
      </w:r>
      <w:r w:rsidR="00732A72" w:rsidRPr="00D07380">
        <w:rPr>
          <w:b/>
          <w:szCs w:val="22"/>
        </w:rPr>
        <w:t xml:space="preserve">, </w:t>
      </w:r>
      <w:r w:rsidR="009E4E79">
        <w:rPr>
          <w:b/>
          <w:szCs w:val="22"/>
        </w:rPr>
        <w:t>Sheffield S</w:t>
      </w:r>
      <w:r w:rsidR="006C1D07">
        <w:rPr>
          <w:b/>
          <w:szCs w:val="22"/>
        </w:rPr>
        <w:t>36 1GH</w:t>
      </w:r>
    </w:p>
    <w:p w14:paraId="5CD6C6F7" w14:textId="3D7ACFB0" w:rsidR="005F553B" w:rsidRPr="00D07380" w:rsidRDefault="00EF1740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 xml:space="preserve">Round Table Session – </w:t>
      </w:r>
      <w:r w:rsidR="00922985">
        <w:rPr>
          <w:rFonts w:cs="Arial"/>
          <w:b/>
          <w:szCs w:val="22"/>
        </w:rPr>
        <w:t>Housing Land Supply</w:t>
      </w:r>
      <w:r w:rsidR="00524220">
        <w:rPr>
          <w:rFonts w:cs="Arial"/>
          <w:b/>
          <w:szCs w:val="22"/>
        </w:rPr>
        <w:t xml:space="preserve"> </w:t>
      </w:r>
    </w:p>
    <w:p w14:paraId="161EE0B3" w14:textId="77777777" w:rsidR="005F553B" w:rsidRPr="00D07380" w:rsidRDefault="005F553B" w:rsidP="007A080D">
      <w:pPr>
        <w:jc w:val="center"/>
        <w:rPr>
          <w:rFonts w:cs="Arial"/>
          <w:b/>
          <w:szCs w:val="22"/>
        </w:rPr>
      </w:pPr>
    </w:p>
    <w:p w14:paraId="64FDB787" w14:textId="43F86B8A" w:rsidR="007A080D" w:rsidRPr="00D07380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 xml:space="preserve">  </w:t>
      </w:r>
      <w:r w:rsidR="00524220">
        <w:rPr>
          <w:rFonts w:cs="Arial"/>
          <w:b/>
          <w:szCs w:val="22"/>
        </w:rPr>
        <w:t>09</w:t>
      </w:r>
      <w:r w:rsidR="00C35D9D" w:rsidRPr="00D07380">
        <w:rPr>
          <w:rFonts w:cs="Arial"/>
          <w:b/>
          <w:szCs w:val="22"/>
        </w:rPr>
        <w:t>.30</w:t>
      </w:r>
      <w:r w:rsidRPr="00D07380">
        <w:rPr>
          <w:rFonts w:cs="Arial"/>
          <w:b/>
          <w:szCs w:val="22"/>
        </w:rPr>
        <w:t xml:space="preserve"> on </w:t>
      </w:r>
      <w:r w:rsidR="00922985">
        <w:rPr>
          <w:rFonts w:cs="Arial"/>
          <w:b/>
          <w:szCs w:val="22"/>
        </w:rPr>
        <w:t>Thursday</w:t>
      </w:r>
      <w:r w:rsidR="00524220">
        <w:rPr>
          <w:rFonts w:cs="Arial"/>
          <w:b/>
          <w:szCs w:val="22"/>
        </w:rPr>
        <w:t xml:space="preserve"> </w:t>
      </w:r>
      <w:r w:rsidR="00222C75">
        <w:rPr>
          <w:rFonts w:cs="Arial"/>
          <w:b/>
          <w:szCs w:val="22"/>
        </w:rPr>
        <w:t>2</w:t>
      </w:r>
      <w:r w:rsidR="00922985">
        <w:rPr>
          <w:rFonts w:cs="Arial"/>
          <w:b/>
          <w:szCs w:val="22"/>
        </w:rPr>
        <w:t>4</w:t>
      </w:r>
      <w:r w:rsidRPr="00D07380">
        <w:rPr>
          <w:rFonts w:cs="Arial"/>
          <w:b/>
          <w:szCs w:val="22"/>
        </w:rPr>
        <w:t xml:space="preserve"> </w:t>
      </w:r>
      <w:r w:rsidR="00222C75">
        <w:rPr>
          <w:rFonts w:cs="Arial"/>
          <w:b/>
          <w:szCs w:val="22"/>
        </w:rPr>
        <w:t>June</w:t>
      </w:r>
      <w:r w:rsidRPr="00D07380">
        <w:rPr>
          <w:rFonts w:cs="Arial"/>
          <w:b/>
          <w:szCs w:val="22"/>
        </w:rPr>
        <w:t xml:space="preserve"> 202</w:t>
      </w:r>
      <w:r w:rsidR="00EA319E">
        <w:rPr>
          <w:rFonts w:cs="Arial"/>
          <w:b/>
          <w:szCs w:val="22"/>
        </w:rPr>
        <w:t>1</w:t>
      </w:r>
    </w:p>
    <w:p w14:paraId="7476B14C" w14:textId="77777777" w:rsidR="007A080D" w:rsidRPr="00D07380" w:rsidRDefault="007A080D" w:rsidP="007A080D">
      <w:pPr>
        <w:jc w:val="center"/>
        <w:rPr>
          <w:rFonts w:cs="Arial"/>
          <w:b/>
          <w:szCs w:val="22"/>
        </w:rPr>
      </w:pPr>
    </w:p>
    <w:bookmarkEnd w:id="0"/>
    <w:p w14:paraId="316FDA8E" w14:textId="57687B62" w:rsidR="007A080D" w:rsidRDefault="007A080D" w:rsidP="007A080D">
      <w:pPr>
        <w:jc w:val="center"/>
        <w:rPr>
          <w:rFonts w:cs="Arial"/>
          <w:b/>
          <w:szCs w:val="22"/>
        </w:rPr>
      </w:pPr>
      <w:r w:rsidRPr="00D07380">
        <w:rPr>
          <w:rFonts w:cs="Arial"/>
          <w:b/>
          <w:szCs w:val="22"/>
        </w:rPr>
        <w:t>AGENDA</w:t>
      </w:r>
    </w:p>
    <w:p w14:paraId="5E5235D1" w14:textId="77777777" w:rsidR="00A56C8A" w:rsidRPr="00D07380" w:rsidRDefault="00A56C8A" w:rsidP="007A080D">
      <w:pPr>
        <w:jc w:val="center"/>
        <w:rPr>
          <w:rFonts w:cs="Arial"/>
          <w:b/>
          <w:szCs w:val="22"/>
        </w:rPr>
      </w:pPr>
    </w:p>
    <w:p w14:paraId="65D5E190" w14:textId="77777777" w:rsidR="00A465AF" w:rsidRPr="00D07380" w:rsidRDefault="00A465AF" w:rsidP="00A465AF">
      <w:pPr>
        <w:jc w:val="center"/>
        <w:rPr>
          <w:rFonts w:cs="Arial"/>
          <w:bCs/>
          <w:szCs w:val="22"/>
        </w:rPr>
      </w:pPr>
    </w:p>
    <w:p w14:paraId="593B3CC2" w14:textId="63B8260F" w:rsidR="00A465AF" w:rsidRDefault="006652F0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="Arial"/>
          <w:bCs/>
          <w:szCs w:val="22"/>
        </w:rPr>
      </w:pPr>
      <w:r w:rsidRPr="00D07380">
        <w:rPr>
          <w:rFonts w:cs="Arial"/>
          <w:bCs/>
          <w:szCs w:val="22"/>
        </w:rPr>
        <w:t>I</w:t>
      </w:r>
      <w:r w:rsidR="00A465AF" w:rsidRPr="00D07380">
        <w:rPr>
          <w:rFonts w:cs="Arial"/>
          <w:bCs/>
          <w:szCs w:val="22"/>
        </w:rPr>
        <w:t>ntroduction by the Inspector</w:t>
      </w:r>
    </w:p>
    <w:p w14:paraId="2A98F035" w14:textId="570B7AE4" w:rsidR="00F3634E" w:rsidRDefault="00F3634E" w:rsidP="00A93504">
      <w:pPr>
        <w:ind w:left="567" w:hanging="567"/>
        <w:jc w:val="left"/>
        <w:rPr>
          <w:rFonts w:cs="Arial"/>
          <w:bCs/>
          <w:szCs w:val="22"/>
        </w:rPr>
      </w:pPr>
    </w:p>
    <w:p w14:paraId="6E766E44" w14:textId="631B86A0" w:rsidR="00F3634E" w:rsidRDefault="00F3634E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Introduction to parties present</w:t>
      </w:r>
    </w:p>
    <w:p w14:paraId="0C0CCB4B" w14:textId="77777777" w:rsidR="00922985" w:rsidRPr="00922985" w:rsidRDefault="00922985" w:rsidP="00922985">
      <w:pPr>
        <w:pStyle w:val="ListParagraph"/>
        <w:rPr>
          <w:rFonts w:cs="Arial"/>
          <w:bCs/>
          <w:szCs w:val="22"/>
        </w:rPr>
      </w:pPr>
    </w:p>
    <w:p w14:paraId="32088616" w14:textId="3FB11178" w:rsidR="00922985" w:rsidRDefault="00922985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Summary of parties housing land supply </w:t>
      </w:r>
      <w:r w:rsidR="0012653B">
        <w:rPr>
          <w:rFonts w:cs="Arial"/>
          <w:bCs/>
          <w:szCs w:val="22"/>
        </w:rPr>
        <w:t>position</w:t>
      </w:r>
    </w:p>
    <w:p w14:paraId="5AD15334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</w:rPr>
      </w:pPr>
      <w:r w:rsidRPr="00922985">
        <w:rPr>
          <w:rFonts w:ascii="Verdana" w:hAnsi="Verdana"/>
        </w:rPr>
        <w:t xml:space="preserve">Category A Sites – </w:t>
      </w: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9</w:t>
      </w:r>
    </w:p>
    <w:p w14:paraId="2B71E3DC" w14:textId="77777777" w:rsidR="00922985" w:rsidRPr="00922985" w:rsidRDefault="00922985" w:rsidP="00922985">
      <w:pPr>
        <w:pStyle w:val="SPRUStandard"/>
        <w:ind w:left="709" w:hanging="142"/>
        <w:rPr>
          <w:rFonts w:ascii="Verdana" w:hAnsi="Verdana"/>
        </w:rPr>
      </w:pP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3 - Sites where evidence of alternative proposal being pursued </w:t>
      </w:r>
    </w:p>
    <w:p w14:paraId="4B3F2CF6" w14:textId="77777777" w:rsidR="00922985" w:rsidRPr="00922985" w:rsidRDefault="00922985" w:rsidP="00922985">
      <w:pPr>
        <w:pStyle w:val="SPRUStandard"/>
        <w:ind w:firstLine="567"/>
        <w:rPr>
          <w:rFonts w:ascii="Verdana" w:hAnsi="Verdana"/>
        </w:rPr>
      </w:pP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4 - Sites without extant permissions</w:t>
      </w:r>
    </w:p>
    <w:p w14:paraId="51ACC27E" w14:textId="73A0C3C0" w:rsidR="00922985" w:rsidRPr="00922985" w:rsidRDefault="00922985" w:rsidP="00922985">
      <w:pPr>
        <w:pStyle w:val="SPRUStandard"/>
        <w:ind w:left="567"/>
        <w:rPr>
          <w:rFonts w:ascii="Verdana" w:hAnsi="Verdana"/>
        </w:rPr>
      </w:pP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</w:t>
      </w:r>
      <w:r w:rsidR="0012653B">
        <w:rPr>
          <w:rFonts w:ascii="Verdana" w:hAnsi="Verdana"/>
        </w:rPr>
        <w:t xml:space="preserve"> </w:t>
      </w:r>
      <w:r w:rsidRPr="00922985">
        <w:rPr>
          <w:rFonts w:ascii="Verdana" w:hAnsi="Verdana"/>
        </w:rPr>
        <w:t>5 - Sites with full permission with evidence that will not be delivered</w:t>
      </w:r>
    </w:p>
    <w:p w14:paraId="6BAE2F8A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</w:rPr>
      </w:pPr>
      <w:r w:rsidRPr="00922985">
        <w:rPr>
          <w:rFonts w:ascii="Verdana" w:hAnsi="Verdana"/>
        </w:rPr>
        <w:t xml:space="preserve">Category B sites – </w:t>
      </w: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10</w:t>
      </w:r>
    </w:p>
    <w:p w14:paraId="1462C42F" w14:textId="1E70C091" w:rsidR="00922985" w:rsidRPr="00922985" w:rsidRDefault="00922985" w:rsidP="00922985">
      <w:pPr>
        <w:pStyle w:val="SPRUStandard"/>
        <w:ind w:left="567"/>
        <w:rPr>
          <w:rFonts w:ascii="Verdana" w:hAnsi="Verdana"/>
        </w:rPr>
      </w:pP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6</w:t>
      </w:r>
      <w:proofErr w:type="gramStart"/>
      <w:r w:rsidR="0012653B">
        <w:rPr>
          <w:rFonts w:ascii="Verdana" w:hAnsi="Verdana"/>
        </w:rPr>
        <w:t xml:space="preserve">- </w:t>
      </w:r>
      <w:r w:rsidRPr="00922985">
        <w:rPr>
          <w:rFonts w:ascii="Verdana" w:hAnsi="Verdana"/>
        </w:rPr>
        <w:t xml:space="preserve"> Sites</w:t>
      </w:r>
      <w:proofErr w:type="gramEnd"/>
      <w:r w:rsidRPr="00922985">
        <w:rPr>
          <w:rFonts w:ascii="Verdana" w:hAnsi="Verdana"/>
        </w:rPr>
        <w:t xml:space="preserve"> on brownfield register where no clear evidence of delivery</w:t>
      </w:r>
    </w:p>
    <w:p w14:paraId="30A283E0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  <w:b w:val="0"/>
          <w:bCs/>
        </w:rPr>
      </w:pPr>
      <w:r w:rsidRPr="00922985">
        <w:rPr>
          <w:rFonts w:ascii="Verdana" w:hAnsi="Verdana"/>
          <w:b w:val="0"/>
          <w:bCs/>
        </w:rPr>
        <w:t>The position as at 1</w:t>
      </w:r>
      <w:r w:rsidRPr="00922985">
        <w:rPr>
          <w:rFonts w:ascii="Verdana" w:hAnsi="Verdana"/>
          <w:b w:val="0"/>
          <w:bCs/>
          <w:vertAlign w:val="superscript"/>
        </w:rPr>
        <w:t>st</w:t>
      </w:r>
      <w:r w:rsidRPr="00922985">
        <w:rPr>
          <w:rFonts w:ascii="Verdana" w:hAnsi="Verdana"/>
          <w:b w:val="0"/>
          <w:bCs/>
        </w:rPr>
        <w:t xml:space="preserve"> April 2021</w:t>
      </w:r>
    </w:p>
    <w:p w14:paraId="65AA0822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  <w:b w:val="0"/>
          <w:bCs/>
        </w:rPr>
      </w:pPr>
      <w:r w:rsidRPr="00922985">
        <w:rPr>
          <w:rFonts w:ascii="Verdana" w:hAnsi="Verdana"/>
          <w:b w:val="0"/>
          <w:bCs/>
        </w:rPr>
        <w:t>Gross additions to stock 2020 to 2021</w:t>
      </w:r>
    </w:p>
    <w:p w14:paraId="4706DF6F" w14:textId="06F80E46" w:rsidR="00922985" w:rsidRPr="00922985" w:rsidRDefault="00922985" w:rsidP="00922985">
      <w:pPr>
        <w:pStyle w:val="SPRUStandard"/>
        <w:ind w:left="567"/>
        <w:rPr>
          <w:rFonts w:ascii="Verdana" w:hAnsi="Verdana"/>
        </w:rPr>
      </w:pPr>
      <w:proofErr w:type="spellStart"/>
      <w:r w:rsidRPr="00922985">
        <w:rPr>
          <w:rFonts w:ascii="Verdana" w:hAnsi="Verdana"/>
        </w:rPr>
        <w:t>SoCG</w:t>
      </w:r>
      <w:proofErr w:type="spellEnd"/>
      <w:r w:rsidRPr="00922985">
        <w:rPr>
          <w:rFonts w:ascii="Verdana" w:hAnsi="Verdana"/>
        </w:rPr>
        <w:t xml:space="preserve"> table 2</w:t>
      </w:r>
    </w:p>
    <w:p w14:paraId="6DB6926B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  <w:b w:val="0"/>
          <w:bCs/>
        </w:rPr>
      </w:pPr>
      <w:r w:rsidRPr="00922985">
        <w:rPr>
          <w:rFonts w:ascii="Verdana" w:hAnsi="Verdana"/>
          <w:b w:val="0"/>
          <w:bCs/>
        </w:rPr>
        <w:t>Completions 2020 – 2021</w:t>
      </w:r>
    </w:p>
    <w:p w14:paraId="1D06B4D4" w14:textId="77777777" w:rsidR="00922985" w:rsidRP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  <w:b w:val="0"/>
          <w:bCs/>
        </w:rPr>
      </w:pPr>
      <w:r w:rsidRPr="00922985">
        <w:rPr>
          <w:rFonts w:ascii="Verdana" w:hAnsi="Verdana"/>
          <w:b w:val="0"/>
          <w:bCs/>
        </w:rPr>
        <w:t>Windfall 2020 – 2021</w:t>
      </w:r>
    </w:p>
    <w:p w14:paraId="1F7AA5B6" w14:textId="2769EBFE" w:rsidR="00922985" w:rsidRDefault="00922985" w:rsidP="00922985">
      <w:pPr>
        <w:pStyle w:val="Heading1"/>
        <w:numPr>
          <w:ilvl w:val="0"/>
          <w:numId w:val="1"/>
        </w:numPr>
        <w:ind w:left="567" w:hanging="567"/>
        <w:rPr>
          <w:rFonts w:ascii="Verdana" w:hAnsi="Verdana"/>
          <w:b w:val="0"/>
          <w:bCs/>
        </w:rPr>
      </w:pPr>
      <w:r w:rsidRPr="00922985">
        <w:rPr>
          <w:rFonts w:ascii="Verdana" w:hAnsi="Verdana"/>
          <w:b w:val="0"/>
          <w:bCs/>
        </w:rPr>
        <w:t>Allowance for demolitions 2020 – 2021</w:t>
      </w:r>
    </w:p>
    <w:p w14:paraId="258F254C" w14:textId="7F96AD05" w:rsidR="00922985" w:rsidRDefault="00922985" w:rsidP="00922985">
      <w:pPr>
        <w:rPr>
          <w:lang w:eastAsia="en-US"/>
        </w:rPr>
      </w:pPr>
    </w:p>
    <w:p w14:paraId="773910D2" w14:textId="77777777" w:rsidR="00922985" w:rsidRDefault="00922985" w:rsidP="00922985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   Affordable Housing</w:t>
      </w:r>
    </w:p>
    <w:p w14:paraId="6347408C" w14:textId="77777777" w:rsidR="00922985" w:rsidRDefault="00922985" w:rsidP="00922985">
      <w:pPr>
        <w:pStyle w:val="ListParagraph"/>
        <w:rPr>
          <w:lang w:eastAsia="en-US"/>
        </w:rPr>
      </w:pPr>
    </w:p>
    <w:p w14:paraId="38221B6E" w14:textId="540893D6" w:rsidR="00A93504" w:rsidRDefault="00A93504" w:rsidP="00A93504">
      <w:pPr>
        <w:pStyle w:val="ListParagraph"/>
        <w:numPr>
          <w:ilvl w:val="0"/>
          <w:numId w:val="1"/>
        </w:numPr>
        <w:ind w:left="567" w:hanging="567"/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Summary of positions</w:t>
      </w:r>
    </w:p>
    <w:p w14:paraId="20375FB6" w14:textId="77777777" w:rsidR="00A93504" w:rsidRPr="00A93504" w:rsidRDefault="00A93504" w:rsidP="00A93504">
      <w:pPr>
        <w:pStyle w:val="ListParagraph"/>
        <w:rPr>
          <w:rFonts w:cstheme="minorHAnsi"/>
          <w:color w:val="000000"/>
          <w:szCs w:val="22"/>
        </w:rPr>
      </w:pPr>
    </w:p>
    <w:p w14:paraId="7AC46F94" w14:textId="257183A9" w:rsidR="007C27D6" w:rsidRPr="00A93504" w:rsidRDefault="00A93504" w:rsidP="00A56C8A">
      <w:pPr>
        <w:pStyle w:val="ListParagraph"/>
        <w:numPr>
          <w:ilvl w:val="0"/>
          <w:numId w:val="1"/>
        </w:numPr>
        <w:contextualSpacing w:val="0"/>
        <w:jc w:val="left"/>
        <w:rPr>
          <w:color w:val="000000"/>
        </w:rPr>
      </w:pPr>
      <w:r>
        <w:rPr>
          <w:rFonts w:cstheme="minorHAnsi"/>
          <w:color w:val="000000"/>
          <w:szCs w:val="22"/>
        </w:rPr>
        <w:t xml:space="preserve">  </w:t>
      </w:r>
      <w:r w:rsidRPr="00A93504">
        <w:rPr>
          <w:rFonts w:cstheme="minorHAnsi"/>
          <w:color w:val="000000"/>
          <w:szCs w:val="22"/>
        </w:rPr>
        <w:t>Conclusions and any further areas of agreement</w:t>
      </w:r>
    </w:p>
    <w:p w14:paraId="3B956C0D" w14:textId="77777777" w:rsidR="001E0D4A" w:rsidRPr="001E0D4A" w:rsidRDefault="001E0D4A" w:rsidP="001E0D4A">
      <w:pPr>
        <w:jc w:val="left"/>
        <w:rPr>
          <w:color w:val="000000"/>
        </w:rPr>
      </w:pPr>
    </w:p>
    <w:p w14:paraId="77C6F173" w14:textId="2AD04EA2" w:rsidR="00D07380" w:rsidRPr="00F20E10" w:rsidRDefault="00A93504" w:rsidP="0012653B">
      <w:pPr>
        <w:pStyle w:val="ListParagraph"/>
        <w:numPr>
          <w:ilvl w:val="0"/>
          <w:numId w:val="1"/>
        </w:numPr>
        <w:tabs>
          <w:tab w:val="left" w:pos="567"/>
        </w:tabs>
        <w:jc w:val="left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  <w:lang w:eastAsia="en-US"/>
        </w:rPr>
        <w:t xml:space="preserve">  </w:t>
      </w:r>
      <w:r w:rsidR="009C3ABF" w:rsidRPr="00F20E10">
        <w:rPr>
          <w:rFonts w:cstheme="minorHAnsi"/>
          <w:color w:val="000000"/>
          <w:szCs w:val="22"/>
          <w:lang w:eastAsia="en-US"/>
        </w:rPr>
        <w:t>Close</w:t>
      </w:r>
    </w:p>
    <w:sectPr w:rsidR="00D07380" w:rsidRPr="00F20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ven Pro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0B3B"/>
    <w:multiLevelType w:val="hybridMultilevel"/>
    <w:tmpl w:val="0514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66356"/>
    <w:multiLevelType w:val="hybridMultilevel"/>
    <w:tmpl w:val="2D22C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51F2"/>
    <w:multiLevelType w:val="hybridMultilevel"/>
    <w:tmpl w:val="D4FA294E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F2829B1"/>
    <w:multiLevelType w:val="multilevel"/>
    <w:tmpl w:val="A9048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0415B"/>
    <w:multiLevelType w:val="hybridMultilevel"/>
    <w:tmpl w:val="0E8432FC"/>
    <w:lvl w:ilvl="0" w:tplc="A1FE3D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C7CA3"/>
    <w:multiLevelType w:val="hybridMultilevel"/>
    <w:tmpl w:val="AD365DF2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3088"/>
    <w:multiLevelType w:val="multilevel"/>
    <w:tmpl w:val="F2181062"/>
    <w:lvl w:ilvl="0">
      <w:start w:val="1"/>
      <w:numFmt w:val="bullet"/>
      <w:lvlText w:val=""/>
      <w:lvlJc w:val="left"/>
      <w:pPr>
        <w:tabs>
          <w:tab w:val="num" w:pos="6314"/>
        </w:tabs>
        <w:ind w:left="6314" w:hanging="360"/>
      </w:pPr>
      <w:rPr>
        <w:rFonts w:ascii="Symbol" w:hAnsi="Symbol" w:hint="default"/>
      </w:rPr>
    </w:lvl>
    <w:lvl w:ilvl="1">
      <w:numFmt w:val="decimal"/>
      <w:lvlText w:val=""/>
      <w:lvlJc w:val="left"/>
      <w:pPr>
        <w:tabs>
          <w:tab w:val="num" w:pos="7034"/>
        </w:tabs>
        <w:ind w:left="7034" w:hanging="360"/>
      </w:pPr>
      <w:rPr>
        <w:rFonts w:ascii="Symbol" w:hAnsi="Symbol" w:hint="default"/>
        <w:sz w:val="20"/>
      </w:rPr>
    </w:lvl>
    <w:lvl w:ilvl="2">
      <w:numFmt w:val="decimal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8474"/>
        </w:tabs>
        <w:ind w:left="8474" w:hanging="360"/>
      </w:pPr>
    </w:lvl>
    <w:lvl w:ilvl="4">
      <w:start w:val="1"/>
      <w:numFmt w:val="decimal"/>
      <w:lvlText w:val="%5."/>
      <w:lvlJc w:val="left"/>
      <w:pPr>
        <w:tabs>
          <w:tab w:val="num" w:pos="9194"/>
        </w:tabs>
        <w:ind w:left="9194" w:hanging="360"/>
      </w:pPr>
    </w:lvl>
    <w:lvl w:ilvl="5">
      <w:start w:val="1"/>
      <w:numFmt w:val="decimal"/>
      <w:lvlText w:val="%6."/>
      <w:lvlJc w:val="left"/>
      <w:pPr>
        <w:tabs>
          <w:tab w:val="num" w:pos="9914"/>
        </w:tabs>
        <w:ind w:left="9914" w:hanging="360"/>
      </w:pPr>
    </w:lvl>
    <w:lvl w:ilvl="6">
      <w:start w:val="1"/>
      <w:numFmt w:val="decimal"/>
      <w:lvlText w:val="%7."/>
      <w:lvlJc w:val="left"/>
      <w:pPr>
        <w:tabs>
          <w:tab w:val="num" w:pos="10634"/>
        </w:tabs>
        <w:ind w:left="10634" w:hanging="360"/>
      </w:pPr>
    </w:lvl>
    <w:lvl w:ilvl="7">
      <w:start w:val="1"/>
      <w:numFmt w:val="decimal"/>
      <w:lvlText w:val="%8."/>
      <w:lvlJc w:val="left"/>
      <w:pPr>
        <w:tabs>
          <w:tab w:val="num" w:pos="11354"/>
        </w:tabs>
        <w:ind w:left="11354" w:hanging="360"/>
      </w:pPr>
    </w:lvl>
    <w:lvl w:ilvl="8">
      <w:start w:val="1"/>
      <w:numFmt w:val="decimal"/>
      <w:lvlText w:val="%9."/>
      <w:lvlJc w:val="left"/>
      <w:pPr>
        <w:tabs>
          <w:tab w:val="num" w:pos="12074"/>
        </w:tabs>
        <w:ind w:left="12074" w:hanging="360"/>
      </w:pPr>
    </w:lvl>
  </w:abstractNum>
  <w:abstractNum w:abstractNumId="7" w15:restartNumberingAfterBreak="0">
    <w:nsid w:val="37E62B25"/>
    <w:multiLevelType w:val="hybridMultilevel"/>
    <w:tmpl w:val="CAFA4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6719"/>
    <w:multiLevelType w:val="hybridMultilevel"/>
    <w:tmpl w:val="09F8BF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701FF3"/>
    <w:multiLevelType w:val="hybridMultilevel"/>
    <w:tmpl w:val="E8186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24AF4"/>
    <w:multiLevelType w:val="hybridMultilevel"/>
    <w:tmpl w:val="497C836E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D4B4E55"/>
    <w:multiLevelType w:val="hybridMultilevel"/>
    <w:tmpl w:val="98C8C610"/>
    <w:lvl w:ilvl="0" w:tplc="65864A60">
      <w:numFmt w:val="bullet"/>
      <w:lvlText w:val="•"/>
      <w:lvlJc w:val="left"/>
      <w:pPr>
        <w:ind w:left="720" w:hanging="360"/>
      </w:pPr>
      <w:rPr>
        <w:rFonts w:ascii="Maven Pro" w:eastAsia="Calibri" w:hAnsi="Maven Pro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B23C7"/>
    <w:multiLevelType w:val="hybridMultilevel"/>
    <w:tmpl w:val="9F228848"/>
    <w:lvl w:ilvl="0" w:tplc="A1FE3D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93F2A81"/>
    <w:multiLevelType w:val="hybridMultilevel"/>
    <w:tmpl w:val="963E6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51BF"/>
    <w:multiLevelType w:val="hybridMultilevel"/>
    <w:tmpl w:val="E092E14E"/>
    <w:lvl w:ilvl="0" w:tplc="DF762E92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EBD5EA6"/>
    <w:multiLevelType w:val="hybridMultilevel"/>
    <w:tmpl w:val="F300F512"/>
    <w:lvl w:ilvl="0" w:tplc="1C309C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7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13"/>
  </w:num>
  <w:num w:numId="16">
    <w:abstractNumId w:val="1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0D"/>
    <w:rsid w:val="000350F5"/>
    <w:rsid w:val="000C4BC6"/>
    <w:rsid w:val="0012653B"/>
    <w:rsid w:val="00174CC4"/>
    <w:rsid w:val="001E0D4A"/>
    <w:rsid w:val="00222C75"/>
    <w:rsid w:val="0022455A"/>
    <w:rsid w:val="002546E4"/>
    <w:rsid w:val="002D7562"/>
    <w:rsid w:val="00391555"/>
    <w:rsid w:val="0042380E"/>
    <w:rsid w:val="00524220"/>
    <w:rsid w:val="00563A3B"/>
    <w:rsid w:val="005B2D2A"/>
    <w:rsid w:val="005F553B"/>
    <w:rsid w:val="00644A1A"/>
    <w:rsid w:val="006652F0"/>
    <w:rsid w:val="006C1D07"/>
    <w:rsid w:val="006F37EF"/>
    <w:rsid w:val="006F539C"/>
    <w:rsid w:val="00732A72"/>
    <w:rsid w:val="007507B4"/>
    <w:rsid w:val="007A080D"/>
    <w:rsid w:val="007C27D6"/>
    <w:rsid w:val="007C7CDC"/>
    <w:rsid w:val="00805E83"/>
    <w:rsid w:val="00820B5F"/>
    <w:rsid w:val="00860728"/>
    <w:rsid w:val="00870869"/>
    <w:rsid w:val="008710BB"/>
    <w:rsid w:val="008F5DE9"/>
    <w:rsid w:val="00903E0D"/>
    <w:rsid w:val="00922985"/>
    <w:rsid w:val="009978DC"/>
    <w:rsid w:val="009B233F"/>
    <w:rsid w:val="009C0E68"/>
    <w:rsid w:val="009C3ABF"/>
    <w:rsid w:val="009D27B5"/>
    <w:rsid w:val="009E4E79"/>
    <w:rsid w:val="00A465AF"/>
    <w:rsid w:val="00A520EC"/>
    <w:rsid w:val="00A56C8A"/>
    <w:rsid w:val="00A93504"/>
    <w:rsid w:val="00AE2B8E"/>
    <w:rsid w:val="00AE3087"/>
    <w:rsid w:val="00B32571"/>
    <w:rsid w:val="00BA7876"/>
    <w:rsid w:val="00BB76B9"/>
    <w:rsid w:val="00BE693B"/>
    <w:rsid w:val="00C03D23"/>
    <w:rsid w:val="00C10001"/>
    <w:rsid w:val="00C35D9D"/>
    <w:rsid w:val="00C81EE8"/>
    <w:rsid w:val="00C9401E"/>
    <w:rsid w:val="00D07380"/>
    <w:rsid w:val="00D8154E"/>
    <w:rsid w:val="00DB1666"/>
    <w:rsid w:val="00DD1996"/>
    <w:rsid w:val="00E15F83"/>
    <w:rsid w:val="00E6304D"/>
    <w:rsid w:val="00E92EA7"/>
    <w:rsid w:val="00EA319E"/>
    <w:rsid w:val="00EF1740"/>
    <w:rsid w:val="00F20E10"/>
    <w:rsid w:val="00F24270"/>
    <w:rsid w:val="00F35DCB"/>
    <w:rsid w:val="00F3634E"/>
    <w:rsid w:val="00F54228"/>
    <w:rsid w:val="00FA00E2"/>
    <w:rsid w:val="00FA30EB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85BB8"/>
  <w15:chartTrackingRefBased/>
  <w15:docId w15:val="{DD49276A-2F8B-4AFE-BB72-D22DC2E4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80D"/>
    <w:pPr>
      <w:spacing w:after="0" w:line="240" w:lineRule="auto"/>
      <w:jc w:val="both"/>
    </w:pPr>
    <w:rPr>
      <w:rFonts w:ascii="Verdana" w:eastAsia="Times New Roman" w:hAnsi="Verdan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85"/>
    <w:pPr>
      <w:keepNext/>
      <w:keepLines/>
      <w:spacing w:before="240" w:line="259" w:lineRule="auto"/>
      <w:jc w:val="left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080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652F0"/>
    <w:rPr>
      <w:rFonts w:ascii="Verdana" w:eastAsia="Times New Roman" w:hAnsi="Verdana" w:cs="Times New Roman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22985"/>
    <w:rPr>
      <w:rFonts w:ascii="Arial" w:eastAsiaTheme="majorEastAsia" w:hAnsi="Arial" w:cstheme="majorBidi"/>
      <w:b/>
      <w:szCs w:val="32"/>
    </w:rPr>
  </w:style>
  <w:style w:type="paragraph" w:customStyle="1" w:styleId="SPRUStandard">
    <w:name w:val="SPRU Standard"/>
    <w:basedOn w:val="Normal"/>
    <w:link w:val="SPRUStandardChar"/>
    <w:qFormat/>
    <w:rsid w:val="00922985"/>
    <w:pPr>
      <w:widowControl w:val="0"/>
      <w:spacing w:after="120"/>
    </w:pPr>
    <w:rPr>
      <w:rFonts w:ascii="Arial" w:eastAsiaTheme="minorHAnsi" w:hAnsi="Arial" w:cs="Arial"/>
      <w:szCs w:val="22"/>
      <w:lang w:eastAsia="en-US"/>
    </w:rPr>
  </w:style>
  <w:style w:type="character" w:customStyle="1" w:styleId="SPRUStandardChar">
    <w:name w:val="SPRU Standard Char"/>
    <w:basedOn w:val="DefaultParagraphFont"/>
    <w:link w:val="SPRUStandard"/>
    <w:rsid w:val="0092298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1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1" ma:contentTypeDescription="Create a new document." ma:contentTypeScope="" ma:versionID="8ad2a4469a79337bcb7d1089b4fcab58">
  <xsd:schema xmlns:xsd="http://www.w3.org/2001/XMLSchema" xmlns:xs="http://www.w3.org/2001/XMLSchema" xmlns:p="http://schemas.microsoft.com/office/2006/metadata/properties" xmlns:ns3="28d24b8f-29f2-49ca-aa5b-dbde2d94cf9c" xmlns:ns4="c781fcaa-52e1-4021-a8d3-b66c85bc600e" targetNamespace="http://schemas.microsoft.com/office/2006/metadata/properties" ma:root="true" ma:fieldsID="7c36d6b48d7e5ab24914cc4f41a49ff7" ns3:_="" ns4:_="">
    <xsd:import namespace="28d24b8f-29f2-49ca-aa5b-dbde2d94cf9c"/>
    <xsd:import namespace="c781fcaa-52e1-4021-a8d3-b66c85bc6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B0E1A-FB15-4D3B-84F6-ACA2707B3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24b8f-29f2-49ca-aa5b-dbde2d94cf9c"/>
    <ds:schemaRef ds:uri="c781fcaa-52e1-4021-a8d3-b66c85bc6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59D77-C8B9-474E-A6C6-BCD6E5ACD0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89DD6-55B2-46F6-A01E-609D108F4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Normington, Stephen</cp:lastModifiedBy>
  <cp:revision>3</cp:revision>
  <cp:lastPrinted>2020-11-17T09:43:00Z</cp:lastPrinted>
  <dcterms:created xsi:type="dcterms:W3CDTF">2021-06-18T14:40:00Z</dcterms:created>
  <dcterms:modified xsi:type="dcterms:W3CDTF">2021-06-18T14:52:00Z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